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8"/>
        <w:tabs>
          <w:tab w:val="right" w:leader="dot" w:pos="8312"/>
        </w:tabs>
        <w:jc w:val="center"/>
        <w:rPr>
          <w:rFonts w:hint="eastAsia"/>
          <w:lang w:val="en-US" w:eastAsia="zh-CN"/>
        </w:rPr>
      </w:pPr>
    </w:p>
    <w:p>
      <w:pPr>
        <w:pStyle w:val="8"/>
        <w:tabs>
          <w:tab w:val="right" w:leader="dot" w:pos="8312"/>
        </w:tabs>
        <w:jc w:val="center"/>
        <w:rPr>
          <w:rFonts w:hint="eastAsia"/>
          <w:lang w:val="en-US" w:eastAsia="zh-CN"/>
        </w:rPr>
      </w:pPr>
    </w:p>
    <w:p>
      <w:pPr>
        <w:pStyle w:val="8"/>
        <w:tabs>
          <w:tab w:val="right" w:leader="dot" w:pos="8312"/>
        </w:tabs>
        <w:jc w:val="center"/>
        <w:rPr>
          <w:rFonts w:hint="eastAsia"/>
          <w:lang w:val="en-US" w:eastAsia="zh-CN"/>
        </w:rPr>
      </w:pPr>
    </w:p>
    <w:p>
      <w:pPr>
        <w:pStyle w:val="8"/>
        <w:tabs>
          <w:tab w:val="right" w:leader="dot" w:pos="8312"/>
        </w:tabs>
        <w:jc w:val="center"/>
        <w:rPr>
          <w:rFonts w:hint="eastAsia"/>
          <w:lang w:val="en-US" w:eastAsia="zh-CN"/>
        </w:rPr>
      </w:pPr>
    </w:p>
    <w:p>
      <w:pPr>
        <w:pStyle w:val="8"/>
        <w:tabs>
          <w:tab w:val="right" w:leader="dot" w:pos="8312"/>
        </w:tabs>
        <w:jc w:val="center"/>
        <w:rPr>
          <w:rFonts w:hint="eastAsia"/>
          <w:lang w:val="en-US" w:eastAsia="zh-CN"/>
        </w:rPr>
      </w:pPr>
    </w:p>
    <w:p>
      <w:pPr>
        <w:pStyle w:val="8"/>
        <w:tabs>
          <w:tab w:val="right" w:leader="dot" w:pos="8312"/>
        </w:tabs>
        <w:jc w:val="center"/>
        <w:rPr>
          <w:rFonts w:hint="eastAsia"/>
          <w:lang w:val="en-US" w:eastAsia="zh-CN"/>
        </w:rPr>
      </w:pPr>
    </w:p>
    <w:p>
      <w:pPr>
        <w:pStyle w:val="8"/>
        <w:tabs>
          <w:tab w:val="right" w:leader="dot" w:pos="8312"/>
        </w:tabs>
        <w:jc w:val="center"/>
        <w:rPr>
          <w:rFonts w:hint="eastAsia"/>
          <w:lang w:val="en-US" w:eastAsia="zh-CN"/>
        </w:rPr>
      </w:pPr>
    </w:p>
    <w:p>
      <w:pPr>
        <w:pStyle w:val="8"/>
        <w:tabs>
          <w:tab w:val="right" w:leader="dot" w:pos="8312"/>
        </w:tabs>
        <w:jc w:val="center"/>
        <w:rPr>
          <w:rFonts w:hint="eastAsia"/>
          <w:lang w:val="en-US" w:eastAsia="zh-CN"/>
        </w:rPr>
      </w:pPr>
    </w:p>
    <w:p>
      <w:pPr>
        <w:pStyle w:val="8"/>
        <w:tabs>
          <w:tab w:val="right" w:leader="dot" w:pos="8312"/>
        </w:tabs>
        <w:jc w:val="center"/>
        <w:rPr>
          <w:rFonts w:hint="eastAsia"/>
          <w:lang w:val="en-US" w:eastAsia="zh-CN"/>
        </w:rPr>
      </w:pPr>
    </w:p>
    <w:p>
      <w:pPr>
        <w:pStyle w:val="8"/>
        <w:tabs>
          <w:tab w:val="right" w:leader="dot" w:pos="8312"/>
        </w:tabs>
        <w:jc w:val="center"/>
        <w:rPr>
          <w:rFonts w:hint="eastAsia"/>
          <w:lang w:val="en-US" w:eastAsia="zh-CN"/>
        </w:rPr>
      </w:pPr>
    </w:p>
    <w:p>
      <w:pPr>
        <w:pStyle w:val="8"/>
        <w:tabs>
          <w:tab w:val="right" w:leader="dot" w:pos="8312"/>
        </w:tabs>
        <w:jc w:val="center"/>
        <w:rPr>
          <w:rFonts w:hint="eastAsia"/>
          <w:lang w:val="en-US" w:eastAsia="zh-CN"/>
        </w:rPr>
      </w:pPr>
    </w:p>
    <w:p>
      <w:pPr>
        <w:pStyle w:val="8"/>
        <w:tabs>
          <w:tab w:val="right" w:leader="dot" w:pos="8312"/>
        </w:tabs>
        <w:jc w:val="center"/>
        <w:rPr>
          <w:rFonts w:hint="eastAsia"/>
          <w:lang w:val="en-US" w:eastAsia="zh-CN"/>
        </w:rPr>
      </w:pPr>
    </w:p>
    <w:p>
      <w:pPr>
        <w:pStyle w:val="8"/>
        <w:tabs>
          <w:tab w:val="right" w:leader="dot" w:pos="8312"/>
        </w:tabs>
        <w:jc w:val="center"/>
        <w:rPr>
          <w:rFonts w:hint="eastAsia"/>
          <w:lang w:val="en-US" w:eastAsia="zh-CN"/>
        </w:rPr>
      </w:pPr>
    </w:p>
    <w:p>
      <w:pPr>
        <w:pStyle w:val="8"/>
        <w:tabs>
          <w:tab w:val="right" w:leader="dot" w:pos="8312"/>
        </w:tabs>
        <w:jc w:val="center"/>
        <w:rPr>
          <w:rFonts w:hint="eastAsia"/>
          <w:lang w:val="en-US" w:eastAsia="zh-CN"/>
        </w:rPr>
      </w:pPr>
    </w:p>
    <w:p>
      <w:pPr>
        <w:pStyle w:val="8"/>
        <w:tabs>
          <w:tab w:val="right" w:leader="dot" w:pos="8312"/>
        </w:tabs>
        <w:jc w:val="center"/>
        <w:rPr>
          <w:rFonts w:hint="eastAsia"/>
          <w:lang w:val="en-US" w:eastAsia="zh-CN"/>
        </w:rPr>
      </w:pPr>
    </w:p>
    <w:p>
      <w:pPr>
        <w:pStyle w:val="8"/>
        <w:tabs>
          <w:tab w:val="right" w:leader="dot" w:pos="8312"/>
        </w:tabs>
        <w:jc w:val="center"/>
        <w:rPr>
          <w:rFonts w:hint="eastAsia" w:ascii="微软雅黑" w:hAnsi="微软雅黑" w:eastAsia="微软雅黑" w:cs="微软雅黑"/>
          <w:sz w:val="52"/>
          <w:szCs w:val="52"/>
          <w:lang w:val="en-US" w:eastAsia="zh-CN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6" w:h="16838"/>
          <w:pgMar w:top="1440" w:right="1797" w:bottom="1440" w:left="1797" w:header="454" w:footer="680" w:gutter="0"/>
          <w:pgNumType w:start="0"/>
          <w:cols w:space="720" w:num="1"/>
          <w:titlePg/>
          <w:docGrid w:type="lines" w:linePitch="312" w:charSpace="0"/>
        </w:sectPr>
      </w:pPr>
      <w:r>
        <w:rPr>
          <w:rFonts w:hint="eastAsia" w:ascii="微软雅黑" w:hAnsi="微软雅黑" w:eastAsia="微软雅黑" w:cs="微软雅黑"/>
          <w:sz w:val="52"/>
          <w:szCs w:val="52"/>
          <w:lang w:val="en-US" w:eastAsia="zh-CN"/>
        </w:rPr>
        <w:t>信阳市公共资源交易评标系统评委操作培训文档</w:t>
      </w:r>
    </w:p>
    <w:p>
      <w:pPr>
        <w:pStyle w:val="8"/>
        <w:tabs>
          <w:tab w:val="right" w:leader="dot" w:pos="8312"/>
        </w:tabs>
      </w:pP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TOC \o "1-3" \h \z \u</w:instrText>
      </w:r>
      <w:r>
        <w:instrText xml:space="preserve"> </w:instrText>
      </w:r>
      <w:r>
        <w:fldChar w:fldCharType="separate"/>
      </w:r>
      <w:r>
        <w:fldChar w:fldCharType="begin"/>
      </w:r>
      <w:r>
        <w:instrText xml:space="preserve"> HYPERLINK \l _Toc32549 </w:instrText>
      </w:r>
      <w:r>
        <w:fldChar w:fldCharType="separate"/>
      </w:r>
      <w:r>
        <w:rPr>
          <w:rFonts w:hint="eastAsia"/>
          <w:lang w:val="en-US"/>
        </w:rPr>
        <w:t xml:space="preserve">一、 </w:t>
      </w:r>
      <w:r>
        <w:rPr>
          <w:rFonts w:hint="eastAsia"/>
        </w:rPr>
        <w:t>评标</w:t>
      </w:r>
      <w:r>
        <w:tab/>
      </w:r>
      <w:r>
        <w:fldChar w:fldCharType="begin"/>
      </w:r>
      <w:r>
        <w:instrText xml:space="preserve"> PAGEREF _Toc32549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9"/>
        <w:tabs>
          <w:tab w:val="right" w:leader="dot" w:pos="8312"/>
        </w:tabs>
      </w:pPr>
      <w:r>
        <w:fldChar w:fldCharType="begin"/>
      </w:r>
      <w:r>
        <w:instrText xml:space="preserve"> HYPERLINK \l _Toc28335 </w:instrText>
      </w:r>
      <w:r>
        <w:fldChar w:fldCharType="separate"/>
      </w:r>
      <w:r>
        <w:rPr>
          <w:rFonts w:hint="eastAsia"/>
          <w:spacing w:val="4"/>
          <w:szCs w:val="30"/>
        </w:rPr>
        <w:t xml:space="preserve">1.1、 </w:t>
      </w:r>
      <w:r>
        <w:t>登陆评标系统</w:t>
      </w:r>
      <w:r>
        <w:tab/>
      </w:r>
      <w:r>
        <w:fldChar w:fldCharType="begin"/>
      </w:r>
      <w:r>
        <w:instrText xml:space="preserve"> PAGEREF _Toc28335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9"/>
        <w:tabs>
          <w:tab w:val="right" w:leader="dot" w:pos="8312"/>
        </w:tabs>
      </w:pPr>
      <w:r>
        <w:fldChar w:fldCharType="begin"/>
      </w:r>
      <w:r>
        <w:instrText xml:space="preserve"> HYPERLINK \l _Toc2287 </w:instrText>
      </w:r>
      <w:r>
        <w:fldChar w:fldCharType="separate"/>
      </w:r>
      <w:r>
        <w:rPr>
          <w:rFonts w:hint="eastAsia"/>
          <w:szCs w:val="30"/>
        </w:rPr>
        <w:t xml:space="preserve">1.2、 </w:t>
      </w:r>
      <w:r>
        <w:rPr>
          <w:rFonts w:hint="eastAsia"/>
        </w:rPr>
        <w:t>评标准备</w:t>
      </w:r>
      <w:r>
        <w:tab/>
      </w:r>
      <w:r>
        <w:fldChar w:fldCharType="begin"/>
      </w:r>
      <w:r>
        <w:instrText xml:space="preserve"> PAGEREF _Toc2287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5"/>
        <w:tabs>
          <w:tab w:val="right" w:leader="dot" w:pos="8312"/>
        </w:tabs>
      </w:pPr>
      <w:r>
        <w:fldChar w:fldCharType="begin"/>
      </w:r>
      <w:r>
        <w:instrText xml:space="preserve"> HYPERLINK \l _Toc16524 </w:instrText>
      </w:r>
      <w:r>
        <w:fldChar w:fldCharType="separate"/>
      </w:r>
      <w:r>
        <w:rPr>
          <w:rFonts w:ascii="Times New Roman" w:hAnsi="Times New Roman" w:cs="Times New Roman"/>
          <w:bCs w:val="0"/>
          <w:i w:val="0"/>
          <w:iCs w:val="0"/>
          <w:caps w:val="0"/>
          <w:smallCaps w:val="0"/>
          <w:strike w:val="0"/>
          <w:dstrike w:val="0"/>
          <w:vanish w:val="0"/>
          <w:position w:val="0"/>
          <w:vertAlign w:val="baseline"/>
        </w:rPr>
        <w:t xml:space="preserve">1.2.1、 </w:t>
      </w:r>
      <w:r>
        <w:t>评委回避</w:t>
      </w:r>
      <w:r>
        <w:tab/>
      </w:r>
      <w:r>
        <w:fldChar w:fldCharType="begin"/>
      </w:r>
      <w:r>
        <w:instrText xml:space="preserve"> PAGEREF _Toc16524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5"/>
        <w:tabs>
          <w:tab w:val="right" w:leader="dot" w:pos="8312"/>
        </w:tabs>
      </w:pPr>
      <w:r>
        <w:fldChar w:fldCharType="begin"/>
      </w:r>
      <w:r>
        <w:instrText xml:space="preserve"> HYPERLINK \l _Toc971 </w:instrText>
      </w:r>
      <w:r>
        <w:fldChar w:fldCharType="separate"/>
      </w:r>
      <w:r>
        <w:rPr>
          <w:rFonts w:ascii="Times New Roman" w:hAnsi="Times New Roman" w:cs="Times New Roman"/>
          <w:bCs w:val="0"/>
          <w:i w:val="0"/>
          <w:iCs w:val="0"/>
          <w:caps w:val="0"/>
          <w:smallCaps w:val="0"/>
          <w:strike w:val="0"/>
          <w:dstrike w:val="0"/>
          <w:vanish w:val="0"/>
          <w:position w:val="0"/>
          <w:vertAlign w:val="baseline"/>
        </w:rPr>
        <w:t xml:space="preserve">1.2.2、 </w:t>
      </w:r>
      <w:r>
        <w:t>推荐评委负责人</w:t>
      </w:r>
      <w:r>
        <w:tab/>
      </w:r>
      <w:r>
        <w:fldChar w:fldCharType="begin"/>
      </w:r>
      <w:r>
        <w:instrText xml:space="preserve"> PAGEREF _Toc971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9"/>
        <w:tabs>
          <w:tab w:val="right" w:leader="dot" w:pos="8312"/>
        </w:tabs>
      </w:pPr>
      <w:r>
        <w:fldChar w:fldCharType="begin"/>
      </w:r>
      <w:r>
        <w:instrText xml:space="preserve"> HYPERLINK \l _Toc17464 </w:instrText>
      </w:r>
      <w:r>
        <w:fldChar w:fldCharType="separate"/>
      </w:r>
      <w:r>
        <w:rPr>
          <w:rFonts w:hint="eastAsia"/>
          <w:szCs w:val="30"/>
        </w:rPr>
        <w:t xml:space="preserve">1.3、 </w:t>
      </w:r>
      <w:r>
        <w:rPr>
          <w:rFonts w:hint="eastAsia"/>
        </w:rPr>
        <w:t>清标</w:t>
      </w:r>
      <w:r>
        <w:tab/>
      </w:r>
      <w:r>
        <w:fldChar w:fldCharType="begin"/>
      </w:r>
      <w:r>
        <w:instrText xml:space="preserve"> PAGEREF _Toc17464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>
      <w:pPr>
        <w:pStyle w:val="9"/>
        <w:tabs>
          <w:tab w:val="right" w:leader="dot" w:pos="8312"/>
        </w:tabs>
      </w:pPr>
      <w:r>
        <w:fldChar w:fldCharType="begin"/>
      </w:r>
      <w:r>
        <w:instrText xml:space="preserve"> HYPERLINK \l _Toc19234 </w:instrText>
      </w:r>
      <w:r>
        <w:fldChar w:fldCharType="separate"/>
      </w:r>
      <w:r>
        <w:rPr>
          <w:rFonts w:hint="eastAsia"/>
          <w:szCs w:val="30"/>
        </w:rPr>
        <w:t xml:space="preserve">1.4、 </w:t>
      </w:r>
      <w:r>
        <w:rPr>
          <w:rFonts w:hint="eastAsia"/>
        </w:rPr>
        <w:t>初步</w:t>
      </w:r>
      <w:r>
        <w:t>评审</w:t>
      </w:r>
      <w:r>
        <w:tab/>
      </w:r>
      <w:r>
        <w:fldChar w:fldCharType="begin"/>
      </w:r>
      <w:r>
        <w:instrText xml:space="preserve"> PAGEREF _Toc19234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>
      <w:pPr>
        <w:pStyle w:val="5"/>
        <w:tabs>
          <w:tab w:val="right" w:leader="dot" w:pos="8312"/>
        </w:tabs>
      </w:pPr>
      <w:r>
        <w:fldChar w:fldCharType="begin"/>
      </w:r>
      <w:r>
        <w:instrText xml:space="preserve"> HYPERLINK \l _Toc27071 </w:instrText>
      </w:r>
      <w:r>
        <w:fldChar w:fldCharType="separate"/>
      </w:r>
      <w:r>
        <w:rPr>
          <w:rFonts w:ascii="Times New Roman" w:hAnsi="Times New Roman" w:cs="Times New Roman"/>
          <w:bCs w:val="0"/>
          <w:i w:val="0"/>
          <w:iCs w:val="0"/>
          <w:caps w:val="0"/>
          <w:smallCaps w:val="0"/>
          <w:strike w:val="0"/>
          <w:dstrike w:val="0"/>
          <w:vanish w:val="0"/>
          <w:position w:val="0"/>
          <w:vertAlign w:val="baseline"/>
        </w:rPr>
        <w:t xml:space="preserve">1.4.1、 </w:t>
      </w:r>
      <w:r>
        <w:rPr>
          <w:rFonts w:hint="eastAsia"/>
        </w:rPr>
        <w:t>初步</w:t>
      </w:r>
      <w:r>
        <w:t>评审</w:t>
      </w:r>
      <w:r>
        <w:tab/>
      </w:r>
      <w:r>
        <w:fldChar w:fldCharType="begin"/>
      </w:r>
      <w:r>
        <w:instrText xml:space="preserve"> PAGEREF _Toc27071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>
      <w:pPr>
        <w:pStyle w:val="5"/>
        <w:tabs>
          <w:tab w:val="right" w:leader="dot" w:pos="8312"/>
        </w:tabs>
      </w:pPr>
      <w:r>
        <w:fldChar w:fldCharType="begin"/>
      </w:r>
      <w:r>
        <w:instrText xml:space="preserve"> HYPERLINK \l _Toc4109 </w:instrText>
      </w:r>
      <w:r>
        <w:fldChar w:fldCharType="separate"/>
      </w:r>
      <w:r>
        <w:rPr>
          <w:rFonts w:ascii="Times New Roman" w:hAnsi="Times New Roman" w:cs="Times New Roman"/>
          <w:bCs w:val="0"/>
          <w:i w:val="0"/>
          <w:iCs w:val="0"/>
          <w:caps w:val="0"/>
          <w:smallCaps w:val="0"/>
          <w:strike w:val="0"/>
          <w:dstrike w:val="0"/>
          <w:vanish w:val="0"/>
          <w:position w:val="0"/>
          <w:vertAlign w:val="baseline"/>
        </w:rPr>
        <w:t xml:space="preserve">1.4.2、 </w:t>
      </w:r>
      <w:r>
        <w:rPr>
          <w:rFonts w:hint="eastAsia"/>
        </w:rPr>
        <w:t>初步</w:t>
      </w:r>
      <w:r>
        <w:t>评审汇总</w:t>
      </w:r>
      <w:r>
        <w:tab/>
      </w:r>
      <w:r>
        <w:fldChar w:fldCharType="begin"/>
      </w:r>
      <w:r>
        <w:instrText xml:space="preserve"> PAGEREF _Toc4109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>
      <w:pPr>
        <w:pStyle w:val="5"/>
        <w:tabs>
          <w:tab w:val="right" w:leader="dot" w:pos="8312"/>
        </w:tabs>
      </w:pPr>
      <w:r>
        <w:fldChar w:fldCharType="begin"/>
      </w:r>
      <w:r>
        <w:instrText xml:space="preserve"> HYPERLINK \l _Toc550 </w:instrText>
      </w:r>
      <w:r>
        <w:fldChar w:fldCharType="separate"/>
      </w:r>
      <w:r>
        <w:rPr>
          <w:rFonts w:ascii="Times New Roman" w:hAnsi="Times New Roman" w:cs="Times New Roman"/>
          <w:bCs w:val="0"/>
          <w:i w:val="0"/>
          <w:iCs w:val="0"/>
          <w:caps w:val="0"/>
          <w:smallCaps w:val="0"/>
          <w:strike w:val="0"/>
          <w:dstrike w:val="0"/>
          <w:vanish w:val="0"/>
          <w:position w:val="0"/>
          <w:vertAlign w:val="baseline"/>
        </w:rPr>
        <w:t xml:space="preserve">1.4.3、 </w:t>
      </w:r>
      <w:r>
        <w:rPr>
          <w:rFonts w:hint="eastAsia"/>
        </w:rPr>
        <w:t>初步评审</w:t>
      </w:r>
      <w:r>
        <w:t>废标</w:t>
      </w:r>
      <w:r>
        <w:tab/>
      </w:r>
      <w:r>
        <w:fldChar w:fldCharType="begin"/>
      </w:r>
      <w:r>
        <w:instrText xml:space="preserve"> PAGEREF _Toc550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>
      <w:pPr>
        <w:pStyle w:val="9"/>
        <w:tabs>
          <w:tab w:val="right" w:leader="dot" w:pos="8312"/>
        </w:tabs>
      </w:pPr>
      <w:r>
        <w:fldChar w:fldCharType="begin"/>
      </w:r>
      <w:r>
        <w:instrText xml:space="preserve"> HYPERLINK \l _Toc31360 </w:instrText>
      </w:r>
      <w:r>
        <w:fldChar w:fldCharType="separate"/>
      </w:r>
      <w:r>
        <w:rPr>
          <w:rFonts w:hint="eastAsia"/>
          <w:szCs w:val="30"/>
        </w:rPr>
        <w:t xml:space="preserve">1.5、 </w:t>
      </w:r>
      <w:r>
        <w:rPr>
          <w:rFonts w:hint="eastAsia"/>
        </w:rPr>
        <w:t>详细</w:t>
      </w:r>
      <w:r>
        <w:t>评审</w:t>
      </w:r>
      <w:r>
        <w:tab/>
      </w:r>
      <w:r>
        <w:fldChar w:fldCharType="begin"/>
      </w:r>
      <w:r>
        <w:instrText xml:space="preserve"> PAGEREF _Toc31360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>
      <w:pPr>
        <w:pStyle w:val="5"/>
        <w:tabs>
          <w:tab w:val="right" w:leader="dot" w:pos="8312"/>
        </w:tabs>
      </w:pPr>
      <w:r>
        <w:fldChar w:fldCharType="begin"/>
      </w:r>
      <w:r>
        <w:instrText xml:space="preserve"> HYPERLINK \l _Toc27763 </w:instrText>
      </w:r>
      <w:r>
        <w:fldChar w:fldCharType="separate"/>
      </w:r>
      <w:r>
        <w:rPr>
          <w:rFonts w:ascii="Times New Roman" w:hAnsi="Times New Roman" w:cs="Times New Roman"/>
          <w:bCs w:val="0"/>
          <w:i w:val="0"/>
          <w:iCs w:val="0"/>
          <w:caps w:val="0"/>
          <w:smallCaps w:val="0"/>
          <w:strike w:val="0"/>
          <w:dstrike w:val="0"/>
          <w:vanish w:val="0"/>
          <w:position w:val="0"/>
          <w:vertAlign w:val="baseline"/>
        </w:rPr>
        <w:t xml:space="preserve">1.5.1、 </w:t>
      </w:r>
      <w:r>
        <w:rPr>
          <w:rFonts w:hint="eastAsia"/>
        </w:rPr>
        <w:t>技术标打分</w:t>
      </w:r>
      <w:r>
        <w:tab/>
      </w:r>
      <w:r>
        <w:fldChar w:fldCharType="begin"/>
      </w:r>
      <w:r>
        <w:instrText xml:space="preserve"> PAGEREF _Toc27763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>
      <w:pPr>
        <w:pStyle w:val="5"/>
        <w:tabs>
          <w:tab w:val="right" w:leader="dot" w:pos="8312"/>
        </w:tabs>
      </w:pPr>
      <w:r>
        <w:fldChar w:fldCharType="begin"/>
      </w:r>
      <w:r>
        <w:instrText xml:space="preserve"> HYPERLINK \l _Toc28870 </w:instrText>
      </w:r>
      <w:r>
        <w:fldChar w:fldCharType="separate"/>
      </w:r>
      <w:r>
        <w:rPr>
          <w:rFonts w:ascii="Times New Roman" w:hAnsi="Times New Roman" w:cs="Times New Roman"/>
          <w:bCs w:val="0"/>
          <w:i w:val="0"/>
          <w:iCs w:val="0"/>
          <w:caps w:val="0"/>
          <w:smallCaps w:val="0"/>
          <w:strike w:val="0"/>
          <w:dstrike w:val="0"/>
          <w:vanish w:val="0"/>
          <w:position w:val="0"/>
          <w:vertAlign w:val="baseline"/>
        </w:rPr>
        <w:t xml:space="preserve">1.5.2、 </w:t>
      </w:r>
      <w:r>
        <w:rPr>
          <w:rFonts w:hint="eastAsia"/>
        </w:rPr>
        <w:t>技术标打分汇总</w:t>
      </w:r>
      <w:r>
        <w:tab/>
      </w:r>
      <w:r>
        <w:fldChar w:fldCharType="begin"/>
      </w:r>
      <w:r>
        <w:instrText xml:space="preserve"> PAGEREF _Toc28870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>
      <w:pPr>
        <w:pStyle w:val="5"/>
        <w:tabs>
          <w:tab w:val="right" w:leader="dot" w:pos="8312"/>
        </w:tabs>
      </w:pPr>
      <w:r>
        <w:fldChar w:fldCharType="begin"/>
      </w:r>
      <w:r>
        <w:instrText xml:space="preserve"> HYPERLINK \l _Toc21432 </w:instrText>
      </w:r>
      <w:r>
        <w:fldChar w:fldCharType="separate"/>
      </w:r>
      <w:r>
        <w:rPr>
          <w:rFonts w:ascii="Times New Roman" w:hAnsi="Times New Roman" w:cs="Times New Roman"/>
          <w:bCs w:val="0"/>
          <w:i w:val="0"/>
          <w:iCs w:val="0"/>
          <w:caps w:val="0"/>
          <w:smallCaps w:val="0"/>
          <w:strike w:val="0"/>
          <w:dstrike w:val="0"/>
          <w:vanish w:val="0"/>
          <w:position w:val="0"/>
          <w:vertAlign w:val="baseline"/>
        </w:rPr>
        <w:t xml:space="preserve">1.5.3、 </w:t>
      </w:r>
      <w:r>
        <w:rPr>
          <w:rFonts w:hint="eastAsia"/>
        </w:rPr>
        <w:t>单项工程、分部分项清单、主要材料查看</w:t>
      </w:r>
      <w:r>
        <w:tab/>
      </w:r>
      <w:r>
        <w:fldChar w:fldCharType="begin"/>
      </w:r>
      <w:r>
        <w:instrText xml:space="preserve"> PAGEREF _Toc21432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>
      <w:pPr>
        <w:pStyle w:val="5"/>
        <w:tabs>
          <w:tab w:val="right" w:leader="dot" w:pos="8312"/>
        </w:tabs>
      </w:pPr>
      <w:r>
        <w:fldChar w:fldCharType="begin"/>
      </w:r>
      <w:r>
        <w:instrText xml:space="preserve"> HYPERLINK \l _Toc8148 </w:instrText>
      </w:r>
      <w:r>
        <w:fldChar w:fldCharType="separate"/>
      </w:r>
      <w:r>
        <w:rPr>
          <w:rFonts w:ascii="Times New Roman" w:hAnsi="Times New Roman" w:cs="Times New Roman"/>
          <w:bCs w:val="0"/>
          <w:i w:val="0"/>
          <w:iCs w:val="0"/>
          <w:caps w:val="0"/>
          <w:smallCaps w:val="0"/>
          <w:strike w:val="0"/>
          <w:dstrike w:val="0"/>
          <w:vanish w:val="0"/>
          <w:position w:val="0"/>
          <w:vertAlign w:val="baseline"/>
        </w:rPr>
        <w:t xml:space="preserve">1.5.4、 </w:t>
      </w:r>
      <w:r>
        <w:rPr>
          <w:rFonts w:hint="eastAsia"/>
        </w:rPr>
        <w:t>商务标打分</w:t>
      </w:r>
      <w:r>
        <w:tab/>
      </w:r>
      <w:r>
        <w:fldChar w:fldCharType="begin"/>
      </w:r>
      <w:r>
        <w:instrText xml:space="preserve"> PAGEREF _Toc8148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>
      <w:pPr>
        <w:pStyle w:val="5"/>
        <w:tabs>
          <w:tab w:val="right" w:leader="dot" w:pos="8312"/>
        </w:tabs>
      </w:pPr>
      <w:r>
        <w:fldChar w:fldCharType="begin"/>
      </w:r>
      <w:r>
        <w:instrText xml:space="preserve"> HYPERLINK \l _Toc20119 </w:instrText>
      </w:r>
      <w:r>
        <w:fldChar w:fldCharType="separate"/>
      </w:r>
      <w:r>
        <w:rPr>
          <w:rFonts w:ascii="Times New Roman" w:hAnsi="Times New Roman" w:cs="Times New Roman"/>
          <w:bCs w:val="0"/>
          <w:i w:val="0"/>
          <w:iCs w:val="0"/>
          <w:caps w:val="0"/>
          <w:smallCaps w:val="0"/>
          <w:strike w:val="0"/>
          <w:dstrike w:val="0"/>
          <w:vanish w:val="0"/>
          <w:position w:val="0"/>
          <w:vertAlign w:val="baseline"/>
        </w:rPr>
        <w:t xml:space="preserve">1.5.5、 </w:t>
      </w:r>
      <w:r>
        <w:rPr>
          <w:rFonts w:hint="eastAsia"/>
        </w:rPr>
        <w:t>商务标打分汇总</w:t>
      </w:r>
      <w:r>
        <w:tab/>
      </w:r>
      <w:r>
        <w:fldChar w:fldCharType="begin"/>
      </w:r>
      <w:r>
        <w:instrText xml:space="preserve"> PAGEREF _Toc20119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>
      <w:pPr>
        <w:pStyle w:val="5"/>
        <w:tabs>
          <w:tab w:val="right" w:leader="dot" w:pos="8312"/>
        </w:tabs>
      </w:pPr>
      <w:r>
        <w:fldChar w:fldCharType="begin"/>
      </w:r>
      <w:r>
        <w:instrText xml:space="preserve"> HYPERLINK \l _Toc29503 </w:instrText>
      </w:r>
      <w:r>
        <w:fldChar w:fldCharType="separate"/>
      </w:r>
      <w:r>
        <w:rPr>
          <w:rFonts w:ascii="Times New Roman" w:hAnsi="Times New Roman" w:cs="Times New Roman"/>
          <w:bCs w:val="0"/>
          <w:i w:val="0"/>
          <w:iCs w:val="0"/>
          <w:caps w:val="0"/>
          <w:smallCaps w:val="0"/>
          <w:strike w:val="0"/>
          <w:dstrike w:val="0"/>
          <w:vanish w:val="0"/>
          <w:position w:val="0"/>
          <w:vertAlign w:val="baseline"/>
        </w:rPr>
        <w:t xml:space="preserve">1.5.6、 </w:t>
      </w:r>
      <w:r>
        <w:rPr>
          <w:rFonts w:hint="eastAsia"/>
        </w:rPr>
        <w:t>商务标打分明细</w:t>
      </w:r>
      <w:r>
        <w:tab/>
      </w:r>
      <w:r>
        <w:fldChar w:fldCharType="begin"/>
      </w:r>
      <w:r>
        <w:instrText xml:space="preserve"> PAGEREF _Toc29503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>
      <w:pPr>
        <w:pStyle w:val="5"/>
        <w:tabs>
          <w:tab w:val="right" w:leader="dot" w:pos="8312"/>
        </w:tabs>
      </w:pPr>
      <w:r>
        <w:fldChar w:fldCharType="begin"/>
      </w:r>
      <w:r>
        <w:instrText xml:space="preserve"> HYPERLINK \l _Toc29664 </w:instrText>
      </w:r>
      <w:r>
        <w:fldChar w:fldCharType="separate"/>
      </w:r>
      <w:r>
        <w:rPr>
          <w:rFonts w:ascii="Times New Roman" w:hAnsi="Times New Roman" w:cs="Times New Roman"/>
          <w:bCs w:val="0"/>
          <w:i w:val="0"/>
          <w:iCs w:val="0"/>
          <w:caps w:val="0"/>
          <w:smallCaps w:val="0"/>
          <w:strike w:val="0"/>
          <w:dstrike w:val="0"/>
          <w:vanish w:val="0"/>
          <w:position w:val="0"/>
          <w:vertAlign w:val="baseline"/>
        </w:rPr>
        <w:t xml:space="preserve">1.5.7、 </w:t>
      </w:r>
      <w:r>
        <w:rPr>
          <w:rFonts w:hint="eastAsia"/>
        </w:rPr>
        <w:t>综合标打分</w:t>
      </w:r>
      <w:r>
        <w:tab/>
      </w:r>
      <w:r>
        <w:fldChar w:fldCharType="begin"/>
      </w:r>
      <w:r>
        <w:instrText xml:space="preserve"> PAGEREF _Toc29664 \h </w:instrText>
      </w:r>
      <w:r>
        <w:fldChar w:fldCharType="separate"/>
      </w:r>
      <w:r>
        <w:t>12</w:t>
      </w:r>
      <w:r>
        <w:fldChar w:fldCharType="end"/>
      </w:r>
      <w:r>
        <w:fldChar w:fldCharType="end"/>
      </w:r>
    </w:p>
    <w:p>
      <w:pPr>
        <w:pStyle w:val="5"/>
        <w:tabs>
          <w:tab w:val="right" w:leader="dot" w:pos="8312"/>
        </w:tabs>
      </w:pPr>
      <w:r>
        <w:fldChar w:fldCharType="begin"/>
      </w:r>
      <w:r>
        <w:instrText xml:space="preserve"> HYPERLINK \l _Toc25052 </w:instrText>
      </w:r>
      <w:r>
        <w:fldChar w:fldCharType="separate"/>
      </w:r>
      <w:r>
        <w:rPr>
          <w:rFonts w:ascii="Times New Roman" w:hAnsi="Times New Roman" w:cs="Times New Roman"/>
          <w:bCs w:val="0"/>
          <w:i w:val="0"/>
          <w:iCs w:val="0"/>
          <w:caps w:val="0"/>
          <w:smallCaps w:val="0"/>
          <w:strike w:val="0"/>
          <w:dstrike w:val="0"/>
          <w:vanish w:val="0"/>
          <w:position w:val="0"/>
          <w:vertAlign w:val="baseline"/>
        </w:rPr>
        <w:t xml:space="preserve">1.5.8、 </w:t>
      </w:r>
      <w:r>
        <w:rPr>
          <w:rFonts w:hint="eastAsia"/>
        </w:rPr>
        <w:t>综合标打分汇总</w:t>
      </w:r>
      <w:r>
        <w:tab/>
      </w:r>
      <w:r>
        <w:fldChar w:fldCharType="begin"/>
      </w:r>
      <w:r>
        <w:instrText xml:space="preserve"> PAGEREF _Toc25052 \h </w:instrText>
      </w:r>
      <w:r>
        <w:fldChar w:fldCharType="separate"/>
      </w:r>
      <w:r>
        <w:t>12</w:t>
      </w:r>
      <w:r>
        <w:fldChar w:fldCharType="end"/>
      </w:r>
      <w:r>
        <w:fldChar w:fldCharType="end"/>
      </w:r>
    </w:p>
    <w:p>
      <w:pPr>
        <w:pStyle w:val="9"/>
        <w:tabs>
          <w:tab w:val="right" w:leader="dot" w:pos="8312"/>
        </w:tabs>
      </w:pPr>
      <w:r>
        <w:fldChar w:fldCharType="begin"/>
      </w:r>
      <w:r>
        <w:instrText xml:space="preserve"> HYPERLINK \l _Toc21822 </w:instrText>
      </w:r>
      <w:r>
        <w:fldChar w:fldCharType="separate"/>
      </w:r>
      <w:r>
        <w:rPr>
          <w:rFonts w:hint="eastAsia"/>
          <w:szCs w:val="30"/>
        </w:rPr>
        <w:t xml:space="preserve">1.6、 </w:t>
      </w:r>
      <w:r>
        <w:rPr>
          <w:rFonts w:hint="eastAsia"/>
        </w:rPr>
        <w:t>评标结果</w:t>
      </w:r>
      <w:r>
        <w:tab/>
      </w:r>
      <w:r>
        <w:fldChar w:fldCharType="begin"/>
      </w:r>
      <w:r>
        <w:instrText xml:space="preserve"> PAGEREF _Toc21822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>
      <w:pPr>
        <w:pStyle w:val="5"/>
        <w:tabs>
          <w:tab w:val="right" w:leader="dot" w:pos="8312"/>
        </w:tabs>
      </w:pPr>
      <w:r>
        <w:fldChar w:fldCharType="begin"/>
      </w:r>
      <w:r>
        <w:instrText xml:space="preserve"> HYPERLINK \l _Toc23625 </w:instrText>
      </w:r>
      <w:r>
        <w:fldChar w:fldCharType="separate"/>
      </w:r>
      <w:r>
        <w:rPr>
          <w:rFonts w:ascii="Times New Roman" w:hAnsi="Times New Roman" w:cs="Times New Roman"/>
          <w:bCs w:val="0"/>
          <w:i w:val="0"/>
          <w:iCs w:val="0"/>
          <w:caps w:val="0"/>
          <w:smallCaps w:val="0"/>
          <w:strike w:val="0"/>
          <w:dstrike w:val="0"/>
          <w:vanish w:val="0"/>
          <w:position w:val="0"/>
          <w:vertAlign w:val="baseline"/>
        </w:rPr>
        <w:t xml:space="preserve">1.6.1、 </w:t>
      </w:r>
      <w:r>
        <w:rPr>
          <w:rFonts w:hint="eastAsia"/>
        </w:rPr>
        <w:t>最终排名</w:t>
      </w:r>
      <w:r>
        <w:tab/>
      </w:r>
      <w:r>
        <w:fldChar w:fldCharType="begin"/>
      </w:r>
      <w:r>
        <w:instrText xml:space="preserve"> PAGEREF _Toc23625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>
      <w:pPr>
        <w:pStyle w:val="5"/>
        <w:tabs>
          <w:tab w:val="right" w:leader="dot" w:pos="8312"/>
        </w:tabs>
      </w:pPr>
      <w:r>
        <w:fldChar w:fldCharType="begin"/>
      </w:r>
      <w:r>
        <w:instrText xml:space="preserve"> HYPERLINK \l _Toc6146 </w:instrText>
      </w:r>
      <w:r>
        <w:fldChar w:fldCharType="separate"/>
      </w:r>
      <w:r>
        <w:rPr>
          <w:rFonts w:ascii="Times New Roman" w:hAnsi="Times New Roman" w:cs="Times New Roman"/>
          <w:bCs w:val="0"/>
          <w:i w:val="0"/>
          <w:iCs w:val="0"/>
          <w:caps w:val="0"/>
          <w:smallCaps w:val="0"/>
          <w:strike w:val="0"/>
          <w:dstrike w:val="0"/>
          <w:vanish w:val="0"/>
          <w:position w:val="0"/>
          <w:vertAlign w:val="baseline"/>
        </w:rPr>
        <w:t xml:space="preserve">1.6.2、 </w:t>
      </w:r>
      <w:r>
        <w:rPr>
          <w:rFonts w:hint="eastAsia"/>
        </w:rPr>
        <w:t>评委签章</w:t>
      </w:r>
      <w:r>
        <w:tab/>
      </w:r>
      <w:r>
        <w:fldChar w:fldCharType="begin"/>
      </w:r>
      <w:r>
        <w:instrText xml:space="preserve"> PAGEREF _Toc6146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>
      <w:pPr>
        <w:pStyle w:val="5"/>
        <w:tabs>
          <w:tab w:val="right" w:leader="dot" w:pos="8312"/>
        </w:tabs>
      </w:pPr>
      <w:r>
        <w:fldChar w:fldCharType="begin"/>
      </w:r>
      <w:r>
        <w:instrText xml:space="preserve"> HYPERLINK \l _Toc21756 </w:instrText>
      </w:r>
      <w:r>
        <w:fldChar w:fldCharType="separate"/>
      </w:r>
      <w:r>
        <w:rPr>
          <w:rFonts w:ascii="Times New Roman" w:hAnsi="Times New Roman" w:cs="Times New Roman"/>
          <w:bCs w:val="0"/>
          <w:i w:val="0"/>
          <w:iCs w:val="0"/>
          <w:caps w:val="0"/>
          <w:smallCaps w:val="0"/>
          <w:strike w:val="0"/>
          <w:dstrike w:val="0"/>
          <w:vanish w:val="0"/>
          <w:position w:val="0"/>
          <w:vertAlign w:val="baseline"/>
        </w:rPr>
        <w:t xml:space="preserve">1.6.3、 </w:t>
      </w:r>
      <w:r>
        <w:rPr>
          <w:rFonts w:hint="eastAsia"/>
        </w:rPr>
        <w:t>评标结束</w:t>
      </w:r>
      <w:r>
        <w:tab/>
      </w:r>
      <w:r>
        <w:fldChar w:fldCharType="begin"/>
      </w:r>
      <w:r>
        <w:instrText xml:space="preserve"> PAGEREF _Toc21756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>
      <w:pPr>
        <w:pStyle w:val="5"/>
        <w:tabs>
          <w:tab w:val="right" w:leader="dot" w:pos="8312"/>
        </w:tabs>
      </w:pPr>
      <w:r>
        <w:fldChar w:fldCharType="begin"/>
      </w:r>
      <w:r>
        <w:instrText xml:space="preserve"> HYPERLINK \l _Toc25997 </w:instrText>
      </w:r>
      <w:r>
        <w:fldChar w:fldCharType="separate"/>
      </w:r>
      <w:r>
        <w:rPr>
          <w:rFonts w:ascii="Times New Roman" w:hAnsi="Times New Roman" w:cs="Times New Roman"/>
          <w:bCs w:val="0"/>
          <w:i w:val="0"/>
          <w:iCs w:val="0"/>
          <w:caps w:val="0"/>
          <w:smallCaps w:val="0"/>
          <w:strike w:val="0"/>
          <w:dstrike w:val="0"/>
          <w:vanish w:val="0"/>
          <w:position w:val="0"/>
          <w:vertAlign w:val="baseline"/>
        </w:rPr>
        <w:t xml:space="preserve">1.6.4、 </w:t>
      </w:r>
      <w:r>
        <w:rPr>
          <w:rFonts w:hint="eastAsia"/>
        </w:rPr>
        <w:t>评标报告</w:t>
      </w:r>
      <w:r>
        <w:tab/>
      </w:r>
      <w:r>
        <w:fldChar w:fldCharType="begin"/>
      </w:r>
      <w:r>
        <w:instrText xml:space="preserve"> PAGEREF _Toc25997 \h </w:instrText>
      </w:r>
      <w:r>
        <w:fldChar w:fldCharType="separate"/>
      </w:r>
      <w:r>
        <w:t>15</w:t>
      </w:r>
      <w:r>
        <w:fldChar w:fldCharType="end"/>
      </w:r>
      <w:r>
        <w:fldChar w:fldCharType="end"/>
      </w:r>
    </w:p>
    <w:p>
      <w:pPr>
        <w:pStyle w:val="13"/>
        <w:spacing w:line="240" w:lineRule="auto"/>
        <w:ind w:firstLine="0" w:firstLineChars="0"/>
      </w:pPr>
      <w:r>
        <w:fldChar w:fldCharType="end"/>
      </w:r>
    </w:p>
    <w:p>
      <w:pPr>
        <w:pStyle w:val="13"/>
        <w:spacing w:line="240" w:lineRule="auto"/>
        <w:ind w:firstLine="0" w:firstLineChars="0"/>
      </w:pPr>
    </w:p>
    <w:p>
      <w:pPr>
        <w:pStyle w:val="13"/>
        <w:spacing w:line="240" w:lineRule="auto"/>
        <w:ind w:firstLine="0" w:firstLineChars="0"/>
      </w:pPr>
    </w:p>
    <w:p>
      <w:pPr>
        <w:pStyle w:val="13"/>
        <w:spacing w:line="240" w:lineRule="auto"/>
        <w:ind w:firstLine="0" w:firstLineChars="0"/>
      </w:pPr>
    </w:p>
    <w:p>
      <w:pPr>
        <w:pStyle w:val="13"/>
        <w:spacing w:line="240" w:lineRule="auto"/>
        <w:ind w:firstLine="0" w:firstLineChars="0"/>
      </w:pPr>
      <w:r>
        <w:br w:type="page"/>
      </w:r>
      <w:bookmarkStart w:id="0" w:name="_Toc261428517"/>
      <w:bookmarkStart w:id="1" w:name="_Toc225152731"/>
    </w:p>
    <w:bookmarkEnd w:id="0"/>
    <w:bookmarkEnd w:id="1"/>
    <w:p/>
    <w:p>
      <w:pPr>
        <w:pStyle w:val="2"/>
      </w:pPr>
      <w:bookmarkStart w:id="2" w:name="_Toc7705"/>
      <w:bookmarkStart w:id="3" w:name="_Toc32549"/>
      <w:r>
        <w:rPr>
          <w:rFonts w:hint="eastAsia"/>
        </w:rPr>
        <w:t>评标</w:t>
      </w:r>
      <w:bookmarkEnd w:id="2"/>
      <w:bookmarkEnd w:id="3"/>
    </w:p>
    <w:p>
      <w:pPr>
        <w:pStyle w:val="3"/>
        <w:numPr>
          <w:ilvl w:val="1"/>
          <w:numId w:val="2"/>
        </w:numPr>
        <w:rPr>
          <w:spacing w:val="4"/>
        </w:rPr>
      </w:pPr>
      <w:bookmarkStart w:id="4" w:name="_Toc21264"/>
      <w:bookmarkStart w:id="5" w:name="_Toc28335"/>
      <w:r>
        <w:t>登陆评标系统</w:t>
      </w:r>
      <w:bookmarkEnd w:id="4"/>
      <w:bookmarkEnd w:id="5"/>
    </w:p>
    <w:p>
      <w:pPr>
        <w:ind w:firstLine="436"/>
        <w:rPr>
          <w:rFonts w:hint="eastAsia"/>
          <w:spacing w:val="4"/>
        </w:rPr>
      </w:pPr>
      <w:r>
        <w:rPr>
          <w:spacing w:val="4"/>
        </w:rPr>
        <w:t xml:space="preserve">2.1.1 </w:t>
      </w:r>
      <w:r>
        <w:rPr>
          <w:rFonts w:hint="eastAsia"/>
          <w:spacing w:val="4"/>
        </w:rPr>
        <w:t>评委登录评标系统（https://ggzyjy.xinyang.gov.cn/TPPingBiao</w:t>
      </w:r>
      <w:r>
        <w:rPr>
          <w:rFonts w:hint="eastAsia"/>
          <w:spacing w:val="4"/>
          <w:lang w:val="en-US" w:eastAsia="zh-CN"/>
        </w:rPr>
        <w:t>Pad</w:t>
      </w:r>
      <w:r>
        <w:rPr>
          <w:rFonts w:hint="eastAsia"/>
          <w:spacing w:val="4"/>
        </w:rPr>
        <w:t>）</w:t>
      </w:r>
    </w:p>
    <w:p>
      <w:pPr>
        <w:ind w:firstLine="436"/>
        <w:rPr>
          <w:rFonts w:hint="eastAsia"/>
          <w:spacing w:val="4"/>
        </w:rPr>
      </w:pPr>
      <w:r>
        <w:rPr>
          <w:spacing w:val="4"/>
        </w:rPr>
        <w:t>2.1.2  点击评标专家登录，</w:t>
      </w:r>
      <w:r>
        <w:rPr>
          <w:rFonts w:hint="eastAsia"/>
          <w:spacing w:val="4"/>
          <w:lang w:val="en-US" w:eastAsia="zh-CN"/>
        </w:rPr>
        <w:t>请在刷身份证并通过人脸识别后自动登录系统。</w:t>
      </w:r>
    </w:p>
    <w:p>
      <w:pPr>
        <w:pStyle w:val="14"/>
        <w:jc w:val="left"/>
      </w:pPr>
      <w:r>
        <w:drawing>
          <wp:inline distT="0" distB="0" distL="114300" distR="114300">
            <wp:extent cx="5274310" cy="3129915"/>
            <wp:effectExtent l="0" t="0" r="2540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ind w:firstLine="436"/>
        <w:rPr>
          <w:spacing w:val="4"/>
        </w:rPr>
      </w:pPr>
      <w:r>
        <w:rPr>
          <w:spacing w:val="4"/>
        </w:rPr>
        <w:t>2.1.3  选择并进入今日开标项目进入评标</w:t>
      </w:r>
    </w:p>
    <w:p>
      <w:r>
        <w:drawing>
          <wp:inline distT="0" distB="0" distL="114300" distR="114300">
            <wp:extent cx="5271770" cy="1657985"/>
            <wp:effectExtent l="0" t="0" r="5080" b="1841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65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4310" cy="2447290"/>
            <wp:effectExtent l="0" t="0" r="8890" b="381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72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3"/>
      </w:pPr>
      <w:bookmarkStart w:id="6" w:name="_Toc32192"/>
      <w:bookmarkStart w:id="7" w:name="_Toc2287"/>
      <w:r>
        <w:rPr>
          <w:rFonts w:hint="eastAsia"/>
        </w:rPr>
        <w:t>评标准备</w:t>
      </w:r>
      <w:bookmarkEnd w:id="6"/>
      <w:bookmarkEnd w:id="7"/>
    </w:p>
    <w:p>
      <w:pPr>
        <w:pStyle w:val="4"/>
      </w:pPr>
      <w:bookmarkStart w:id="8" w:name="_Toc16524"/>
      <w:bookmarkStart w:id="9" w:name="_Toc2850"/>
      <w:r>
        <w:t>评委回避</w:t>
      </w:r>
      <w:bookmarkEnd w:id="8"/>
      <w:bookmarkEnd w:id="9"/>
    </w:p>
    <w:p>
      <w:r>
        <w:rPr>
          <w:rFonts w:hint="eastAsia"/>
        </w:rPr>
        <w:t>点击“评标准备”进入评委确认是否回避界面，</w:t>
      </w:r>
      <w:r>
        <w:t>评委根据实际情况选择是否需要回避</w:t>
      </w:r>
      <w:r>
        <w:rPr>
          <w:rFonts w:hint="eastAsia"/>
        </w:rPr>
        <w:t>。</w:t>
      </w:r>
    </w:p>
    <w:p>
      <w:pPr>
        <w:ind w:firstLine="0" w:firstLineChars="0"/>
      </w:pPr>
      <w:r>
        <w:drawing>
          <wp:inline distT="0" distB="0" distL="114300" distR="114300">
            <wp:extent cx="5266690" cy="2366645"/>
            <wp:effectExtent l="0" t="0" r="3810" b="825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66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10" w:name="_Toc15385"/>
      <w:bookmarkStart w:id="11" w:name="_Toc971"/>
      <w:r>
        <w:t>推荐评委负责人</w:t>
      </w:r>
      <w:bookmarkEnd w:id="10"/>
      <w:bookmarkEnd w:id="11"/>
    </w:p>
    <w:p>
      <w:pPr>
        <w:pStyle w:val="15"/>
      </w:pPr>
      <w:r>
        <w:t>所有专家发起投票，推举出评委组长，组长可以进行清标、汇总、废标等操作。</w:t>
      </w:r>
    </w:p>
    <w:p>
      <w:pPr>
        <w:pStyle w:val="15"/>
      </w:pPr>
      <w:r>
        <w:drawing>
          <wp:inline distT="0" distB="0" distL="114300" distR="114300">
            <wp:extent cx="5273040" cy="2061210"/>
            <wp:effectExtent l="0" t="0" r="10160" b="8890"/>
            <wp:docPr id="116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8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061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5"/>
      </w:pPr>
    </w:p>
    <w:p>
      <w:pPr>
        <w:pStyle w:val="3"/>
      </w:pPr>
      <w:bookmarkStart w:id="12" w:name="_Toc22930"/>
      <w:bookmarkStart w:id="13" w:name="_Toc17464"/>
      <w:r>
        <w:rPr>
          <w:rFonts w:hint="eastAsia"/>
        </w:rPr>
        <w:t>清标</w:t>
      </w:r>
      <w:bookmarkEnd w:id="12"/>
      <w:bookmarkEnd w:id="13"/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政府采购项目无该步骤</w:t>
      </w:r>
      <w:bookmarkStart w:id="37" w:name="_GoBack"/>
      <w:bookmarkEnd w:id="37"/>
      <w:r>
        <w:rPr>
          <w:rFonts w:hint="eastAsia"/>
          <w:lang w:eastAsia="zh-CN"/>
        </w:rPr>
        <w:t>）</w:t>
      </w:r>
    </w:p>
    <w:p>
      <w:pPr>
        <w:ind w:firstLine="422"/>
      </w:pPr>
      <w:r>
        <w:rPr>
          <w:rFonts w:hint="eastAsia"/>
          <w:b/>
          <w:highlight w:val="yellow"/>
        </w:rPr>
        <w:t>所有评委刷新页面（可按键盘的F5快捷方式进行刷新）</w:t>
      </w:r>
      <w:r>
        <w:rPr>
          <w:rFonts w:hint="eastAsia"/>
        </w:rPr>
        <w:t>，评委组长点击“清标”-“多线程清标”，系统自动进行清标</w:t>
      </w:r>
    </w:p>
    <w:p>
      <w:pPr>
        <w:ind w:firstLine="0" w:firstLineChars="0"/>
      </w:pPr>
      <w:r>
        <w:drawing>
          <wp:inline distT="0" distB="0" distL="114300" distR="114300">
            <wp:extent cx="5278120" cy="2363470"/>
            <wp:effectExtent l="0" t="0" r="5080" b="1143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3634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114300" distR="114300">
            <wp:extent cx="5278120" cy="2363470"/>
            <wp:effectExtent l="0" t="0" r="5080" b="1143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3634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清标之后所有评委专家都可以看到清标结果，评委专家可以根据清标情况进行各项的检查</w:t>
      </w:r>
    </w:p>
    <w:p>
      <w:r>
        <w:drawing>
          <wp:inline distT="0" distB="0" distL="114300" distR="114300">
            <wp:extent cx="5268595" cy="2331085"/>
            <wp:effectExtent l="0" t="0" r="1905" b="5715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331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14" w:name="_Toc19234"/>
      <w:bookmarkStart w:id="15" w:name="_Toc31996"/>
      <w:r>
        <w:rPr>
          <w:rFonts w:hint="eastAsia"/>
        </w:rPr>
        <w:t>初步</w:t>
      </w:r>
      <w:r>
        <w:t>评审</w:t>
      </w:r>
      <w:bookmarkEnd w:id="14"/>
      <w:bookmarkEnd w:id="15"/>
    </w:p>
    <w:p>
      <w:pPr>
        <w:pStyle w:val="4"/>
      </w:pPr>
      <w:bookmarkStart w:id="16" w:name="_Toc14449"/>
      <w:bookmarkStart w:id="17" w:name="_Toc27071"/>
      <w:r>
        <w:rPr>
          <w:rFonts w:hint="eastAsia"/>
        </w:rPr>
        <w:t>初步</w:t>
      </w:r>
      <w:r>
        <w:t>评审</w:t>
      </w:r>
      <w:bookmarkEnd w:id="16"/>
      <w:bookmarkEnd w:id="17"/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rFonts w:hint="eastAsia"/>
          <w:color w:val="FF0000"/>
        </w:rPr>
        <w:t>评标结果显示界面点击“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下一步”，或者所有评委刷新界面，然后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点击“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初步评审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”，对所有单位进行评审</w:t>
      </w:r>
    </w:p>
    <w:p>
      <w:r>
        <w:drawing>
          <wp:inline distT="0" distB="0" distL="114300" distR="114300">
            <wp:extent cx="5268595" cy="2358390"/>
            <wp:effectExtent l="0" t="0" r="1905" b="3810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3583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鼠标悬停评分点名称，可以查看当前评审标准。</w:t>
      </w:r>
    </w:p>
    <w:p>
      <w:r>
        <w:drawing>
          <wp:inline distT="0" distB="0" distL="114300" distR="114300">
            <wp:extent cx="5268595" cy="2352675"/>
            <wp:effectExtent l="0" t="0" r="1905" b="9525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此图标</w:t>
      </w:r>
      <w:r>
        <w:rPr>
          <w:rFonts w:hint="eastAsia"/>
        </w:rPr>
        <w:drawing>
          <wp:inline distT="0" distB="0" distL="114300" distR="114300">
            <wp:extent cx="266700" cy="381000"/>
            <wp:effectExtent l="0" t="0" r="0" b="0"/>
            <wp:docPr id="36" name="图片 33" descr="quickMenu_ov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3" descr="quickMenu_over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为快捷菜单，点击可查看招标文件、投标文件、控制价文件，以及进行废标操作。</w:t>
      </w:r>
    </w:p>
    <w:p>
      <w:r>
        <w:drawing>
          <wp:inline distT="0" distB="0" distL="114300" distR="114300">
            <wp:extent cx="5278120" cy="2380615"/>
            <wp:effectExtent l="0" t="0" r="5080" b="6985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3806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6690" cy="1320165"/>
            <wp:effectExtent l="0" t="0" r="3810" b="635"/>
            <wp:docPr id="120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8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20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t>所有单位评审完毕后点击确认提交</w:t>
      </w:r>
      <w:r>
        <w:rPr>
          <w:rFonts w:hint="eastAsia"/>
        </w:rPr>
        <w:t>，会将评标结果汇总成表单，在点击“确认提交”。</w:t>
      </w:r>
    </w:p>
    <w:p>
      <w:r>
        <w:drawing>
          <wp:inline distT="0" distB="0" distL="114300" distR="114300">
            <wp:extent cx="5274945" cy="2369185"/>
            <wp:effectExtent l="0" t="0" r="8255" b="5715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3691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4310" cy="2193925"/>
            <wp:effectExtent l="0" t="0" r="8890" b="3175"/>
            <wp:docPr id="121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8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3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8595" cy="1948815"/>
            <wp:effectExtent l="0" t="0" r="1905" b="6985"/>
            <wp:docPr id="122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8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948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4644390" cy="1956435"/>
            <wp:effectExtent l="0" t="0" r="3810" b="12065"/>
            <wp:docPr id="40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644390" cy="19564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18" w:name="_Toc2410"/>
      <w:bookmarkStart w:id="19" w:name="_Toc4109"/>
      <w:r>
        <w:rPr>
          <w:rFonts w:hint="eastAsia"/>
        </w:rPr>
        <w:t>初步</w:t>
      </w:r>
      <w:r>
        <w:t>评审汇总</w:t>
      </w:r>
      <w:bookmarkEnd w:id="18"/>
      <w:bookmarkEnd w:id="19"/>
    </w:p>
    <w:p>
      <w:r>
        <w:t>所有评委提交完毕后，</w:t>
      </w:r>
      <w:r>
        <w:rPr>
          <w:b/>
          <w:highlight w:val="yellow"/>
        </w:rPr>
        <w:t>评委组长</w:t>
      </w:r>
      <w:r>
        <w:t>进行汇总</w:t>
      </w:r>
      <w:r>
        <w:rPr>
          <w:rFonts w:hint="eastAsia"/>
        </w:rPr>
        <w:t>。点击“确认”按钮之前，若评委对其初步评审的内容需要修改，可由</w:t>
      </w:r>
      <w:r>
        <w:rPr>
          <w:rFonts w:hint="eastAsia"/>
          <w:b/>
          <w:bCs/>
          <w:highlight w:val="yellow"/>
        </w:rPr>
        <w:t>评委组长</w:t>
      </w:r>
      <w:r>
        <w:rPr>
          <w:rFonts w:hint="eastAsia"/>
        </w:rPr>
        <w:t>选择该评委，点击“退回重评”即可。若已进行汇总确认操作，评委就无法对其结果进行修改。</w:t>
      </w:r>
    </w:p>
    <w:p>
      <w:r>
        <w:drawing>
          <wp:inline distT="0" distB="0" distL="114300" distR="114300">
            <wp:extent cx="5274310" cy="1920875"/>
            <wp:effectExtent l="0" t="0" r="8890" b="9525"/>
            <wp:docPr id="123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9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0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20" w:name="_Toc27461"/>
      <w:bookmarkStart w:id="21" w:name="_Toc550"/>
      <w:r>
        <w:rPr>
          <w:rFonts w:hint="eastAsia"/>
        </w:rPr>
        <w:t>初步评审</w:t>
      </w:r>
      <w:r>
        <w:t>废标</w:t>
      </w:r>
      <w:bookmarkEnd w:id="20"/>
      <w:bookmarkEnd w:id="21"/>
    </w:p>
    <w:p>
      <w:r>
        <w:rPr>
          <w:rFonts w:hint="eastAsia"/>
        </w:rPr>
        <w:t>在评审汇总后，如果投标单位出现重大偏差，需要对该投标单位进行废标操作的进行废标操作，如果无废标企业，则该步骤不需要操作。具体操作如下。</w:t>
      </w:r>
    </w:p>
    <w:p>
      <w:r>
        <w:rPr>
          <w:rFonts w:hint="eastAsia"/>
        </w:rPr>
        <w:t>①点击快捷菜单</w:t>
      </w:r>
      <w:r>
        <w:rPr>
          <w:rFonts w:hint="eastAsia"/>
        </w:rPr>
        <w:drawing>
          <wp:inline distT="0" distB="0" distL="114300" distR="114300">
            <wp:extent cx="266700" cy="381000"/>
            <wp:effectExtent l="0" t="0" r="0" b="0"/>
            <wp:docPr id="50" name="图片 47" descr="quickMenu_ov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47" descr="quickMenu_over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，选择废标功能。</w:t>
      </w:r>
    </w:p>
    <w:p>
      <w:r>
        <w:drawing>
          <wp:inline distT="0" distB="0" distL="114300" distR="114300">
            <wp:extent cx="5276215" cy="2305685"/>
            <wp:effectExtent l="0" t="0" r="6985" b="5715"/>
            <wp:docPr id="124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9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23056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②点击需要废标的单位，选择对应的废标节点，选择或输入废标原因。然后点击“废标”即可。</w:t>
      </w:r>
    </w:p>
    <w:p>
      <w:r>
        <w:drawing>
          <wp:inline distT="0" distB="0" distL="114300" distR="114300">
            <wp:extent cx="5271135" cy="2299970"/>
            <wp:effectExtent l="0" t="0" r="12065" b="11430"/>
            <wp:docPr id="125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9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99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rPr>
          <w:rFonts w:hint="eastAsia"/>
        </w:rPr>
        <w:t>③点击“下一步”或刷新界面后再点击详细评审即可进入到详细评审。</w:t>
      </w:r>
    </w:p>
    <w:p/>
    <w:p>
      <w:pPr>
        <w:pStyle w:val="3"/>
      </w:pPr>
      <w:bookmarkStart w:id="22" w:name="_Toc31360"/>
      <w:bookmarkStart w:id="23" w:name="_Toc7279"/>
      <w:r>
        <w:rPr>
          <w:rFonts w:hint="eastAsia"/>
        </w:rPr>
        <w:t>详细</w:t>
      </w:r>
      <w:r>
        <w:t>评审</w:t>
      </w:r>
      <w:bookmarkEnd w:id="22"/>
      <w:bookmarkEnd w:id="23"/>
    </w:p>
    <w:p>
      <w:pPr>
        <w:pStyle w:val="4"/>
        <w:ind w:left="-2" w:leftChars="-140" w:hanging="292" w:hangingChars="104"/>
      </w:pPr>
      <w:bookmarkStart w:id="24" w:name="_Toc27763"/>
      <w:r>
        <w:rPr>
          <w:rFonts w:hint="eastAsia"/>
        </w:rPr>
        <w:t>技术标打分</w:t>
      </w:r>
      <w:bookmarkEnd w:id="24"/>
    </w:p>
    <w:p>
      <w:r>
        <w:rPr>
          <w:rFonts w:hint="eastAsia"/>
        </w:rPr>
        <w:t>点击“技术标打分”，可通过直接打分和在下拉列表进行选择是否缺项对技术标进行打分。所有单位打完分后，点击“确认提交”，进入评审确认界面，确认无误后，再点击“确认提交”。</w:t>
      </w:r>
    </w:p>
    <w:p>
      <w:r>
        <w:drawing>
          <wp:inline distT="0" distB="0" distL="114300" distR="114300">
            <wp:extent cx="5271135" cy="2378075"/>
            <wp:effectExtent l="0" t="0" r="12065" b="9525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78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2405" cy="2338705"/>
            <wp:effectExtent l="0" t="0" r="10795" b="10795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38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3040" cy="2354580"/>
            <wp:effectExtent l="0" t="0" r="10160" b="7620"/>
            <wp:docPr id="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545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left="1" w:leftChars="-135" w:hanging="284" w:hangingChars="101"/>
      </w:pPr>
      <w:bookmarkStart w:id="25" w:name="_Toc28870"/>
      <w:r>
        <w:rPr>
          <w:rFonts w:hint="eastAsia"/>
        </w:rPr>
        <w:t>技术标打分汇总</w:t>
      </w:r>
      <w:bookmarkEnd w:id="25"/>
    </w:p>
    <w:p>
      <w:r>
        <w:t>所有评委提交完毕后，</w:t>
      </w:r>
      <w:r>
        <w:rPr>
          <w:b/>
          <w:highlight w:val="yellow"/>
        </w:rPr>
        <w:t>评委组长</w:t>
      </w:r>
      <w:r>
        <w:t>进行汇总</w:t>
      </w:r>
      <w:r>
        <w:rPr>
          <w:rFonts w:hint="eastAsia"/>
        </w:rPr>
        <w:t>。点击“确认”按钮之前，若评委对其技术标的打分需要修改，可由</w:t>
      </w:r>
      <w:r>
        <w:rPr>
          <w:rFonts w:hint="eastAsia"/>
          <w:b/>
          <w:bCs/>
          <w:highlight w:val="yellow"/>
        </w:rPr>
        <w:t>评委组长</w:t>
      </w:r>
      <w:r>
        <w:rPr>
          <w:rFonts w:hint="eastAsia"/>
        </w:rPr>
        <w:t>选择该评委，点击“退回重评”即可。若已进行汇总确认操作，评委就无法对其结果进行修改。</w:t>
      </w:r>
    </w:p>
    <w:p>
      <w:r>
        <w:drawing>
          <wp:inline distT="0" distB="0" distL="114300" distR="114300">
            <wp:extent cx="5266690" cy="2341245"/>
            <wp:effectExtent l="0" t="0" r="3810" b="8255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12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left="284" w:firstLine="281" w:firstLineChars="100"/>
      </w:pPr>
      <w:bookmarkStart w:id="26" w:name="_Toc21432"/>
      <w:r>
        <w:rPr>
          <w:rFonts w:hint="eastAsia"/>
        </w:rPr>
        <w:t>单项工程、分部分项清单、主要材料查看</w:t>
      </w:r>
      <w:bookmarkEnd w:id="26"/>
    </w:p>
    <w:p>
      <w:r>
        <w:rPr>
          <w:rFonts w:hint="eastAsia"/>
        </w:rPr>
        <w:t>在单项工程查看、分部分项清单查看、主要材料查看界面可以看见单项工程、分部分项清单、主要材料控制价。</w:t>
      </w:r>
    </w:p>
    <w:p>
      <w:r>
        <w:drawing>
          <wp:inline distT="0" distB="0" distL="114300" distR="114300">
            <wp:extent cx="5266690" cy="2355850"/>
            <wp:effectExtent l="0" t="0" r="3810" b="6350"/>
            <wp:docPr id="2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55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27" w:name="_Toc8148"/>
      <w:r>
        <w:rPr>
          <w:rFonts w:hint="eastAsia"/>
        </w:rPr>
        <w:t>商务标打分</w:t>
      </w:r>
      <w:bookmarkEnd w:id="27"/>
    </w:p>
    <w:p>
      <w:r>
        <w:rPr>
          <w:rFonts w:hint="eastAsia"/>
        </w:rPr>
        <w:t>点击“商务标打分”，系统会对商务标进行评审并自动打分。但需对每个单位进行分数查看确认。确认完成后，点击“确认提交”，进入评委确认页面，评委确认分数无误后，再点击右上角的“确认提交”。</w:t>
      </w:r>
    </w:p>
    <w:p>
      <w:r>
        <w:drawing>
          <wp:inline distT="0" distB="0" distL="114300" distR="114300">
            <wp:extent cx="5272405" cy="2345055"/>
            <wp:effectExtent l="0" t="0" r="10795" b="4445"/>
            <wp:docPr id="2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45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5580" cy="2344420"/>
            <wp:effectExtent l="0" t="0" r="7620" b="5080"/>
            <wp:docPr id="2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23444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28" w:name="_Toc20119"/>
      <w:r>
        <w:rPr>
          <w:rFonts w:hint="eastAsia"/>
        </w:rPr>
        <w:t>商务标打分汇总</w:t>
      </w:r>
      <w:bookmarkEnd w:id="28"/>
    </w:p>
    <w:p>
      <w:r>
        <w:t>所有评委提交完毕后，</w:t>
      </w:r>
      <w:r>
        <w:rPr>
          <w:b/>
          <w:highlight w:val="yellow"/>
        </w:rPr>
        <w:t>评委组长</w:t>
      </w:r>
      <w:r>
        <w:t>进行汇总</w:t>
      </w:r>
      <w:r>
        <w:rPr>
          <w:rFonts w:hint="eastAsia"/>
        </w:rPr>
        <w:t>。点击“确认”按钮之前，若评委对其商务标的内容需要修改，可由</w:t>
      </w:r>
      <w:r>
        <w:rPr>
          <w:rFonts w:hint="eastAsia"/>
          <w:b/>
          <w:bCs/>
          <w:highlight w:val="yellow"/>
        </w:rPr>
        <w:t>评委组长</w:t>
      </w:r>
      <w:r>
        <w:rPr>
          <w:rFonts w:hint="eastAsia"/>
        </w:rPr>
        <w:t>选择该评委，点击“退回重评”即可。若已进行汇总确认操作，评委就无法对其结果进行修改。</w:t>
      </w:r>
    </w:p>
    <w:p>
      <w:r>
        <w:drawing>
          <wp:inline distT="0" distB="0" distL="114300" distR="114300">
            <wp:extent cx="5267325" cy="2352675"/>
            <wp:effectExtent l="0" t="0" r="3175" b="9525"/>
            <wp:docPr id="2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29" w:name="_Toc29503"/>
      <w:r>
        <w:rPr>
          <w:rFonts w:hint="eastAsia"/>
        </w:rPr>
        <w:t>商务标打分明细</w:t>
      </w:r>
      <w:bookmarkEnd w:id="29"/>
    </w:p>
    <w:p>
      <w:r>
        <w:rPr>
          <w:rFonts w:hint="eastAsia"/>
        </w:rPr>
        <w:t>点击“商务标打分明细”，可以对商务标各个评分点明细进行查看。</w:t>
      </w:r>
    </w:p>
    <w:p>
      <w:r>
        <w:drawing>
          <wp:inline distT="0" distB="0" distL="114300" distR="114300">
            <wp:extent cx="5275580" cy="1541780"/>
            <wp:effectExtent l="0" t="0" r="7620" b="7620"/>
            <wp:docPr id="3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1541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30" w:name="_Toc29664"/>
      <w:r>
        <w:rPr>
          <w:rFonts w:hint="eastAsia"/>
        </w:rPr>
        <w:t>综合标打分</w:t>
      </w:r>
      <w:bookmarkEnd w:id="30"/>
    </w:p>
    <w:p>
      <w:r>
        <w:rPr>
          <w:rFonts w:hint="eastAsia"/>
        </w:rPr>
        <w:t>点击“综合标打分”，评委可通过在下拉列表中进行选择或者直接打分，来对综合标的每个评分点进行打分。</w:t>
      </w:r>
    </w:p>
    <w:p>
      <w:r>
        <w:drawing>
          <wp:inline distT="0" distB="0" distL="114300" distR="114300">
            <wp:extent cx="5266690" cy="2345055"/>
            <wp:effectExtent l="0" t="0" r="3810" b="4445"/>
            <wp:docPr id="3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5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所有单位评审完成后点击“确认提交”，界面会跳转到评委确认界面，评委确认无误后再点击右上角的“确认提交”。</w:t>
      </w:r>
    </w:p>
    <w:p>
      <w:r>
        <w:drawing>
          <wp:inline distT="0" distB="0" distL="114300" distR="114300">
            <wp:extent cx="5267325" cy="2322195"/>
            <wp:effectExtent l="0" t="0" r="3175" b="1905"/>
            <wp:docPr id="3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221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31" w:name="_Toc25052"/>
      <w:r>
        <w:rPr>
          <w:rFonts w:hint="eastAsia"/>
        </w:rPr>
        <w:t>综合标打分汇总</w:t>
      </w:r>
      <w:bookmarkEnd w:id="31"/>
    </w:p>
    <w:p>
      <w:r>
        <w:t>点击“</w:t>
      </w:r>
      <w:r>
        <w:rPr>
          <w:rFonts w:hint="eastAsia"/>
        </w:rPr>
        <w:t>综合标打分汇总</w:t>
      </w:r>
      <w:r>
        <w:t>”</w:t>
      </w:r>
      <w:r>
        <w:rPr>
          <w:rFonts w:hint="eastAsia"/>
        </w:rPr>
        <w:t>，由</w:t>
      </w:r>
      <w:r>
        <w:rPr>
          <w:rFonts w:hint="eastAsia"/>
          <w:b/>
          <w:bCs/>
          <w:highlight w:val="yellow"/>
        </w:rPr>
        <w:t>评委组长</w:t>
      </w:r>
      <w:r>
        <w:rPr>
          <w:rFonts w:hint="eastAsia"/>
        </w:rPr>
        <w:t>对综合标的打分进行汇总。点击“确认”按钮之前，若评委对其综合标的内容需要修改，可由</w:t>
      </w:r>
      <w:r>
        <w:rPr>
          <w:rFonts w:hint="eastAsia"/>
          <w:b/>
          <w:bCs/>
          <w:highlight w:val="yellow"/>
        </w:rPr>
        <w:t>评委组长</w:t>
      </w:r>
      <w:r>
        <w:rPr>
          <w:rFonts w:hint="eastAsia"/>
        </w:rPr>
        <w:t>选择该评委，点击“退回重评”即可。若已进行汇总确认操作，评委就无法对其结果进行修改。</w:t>
      </w:r>
    </w:p>
    <w:p>
      <w:r>
        <w:drawing>
          <wp:inline distT="0" distB="0" distL="114300" distR="114300">
            <wp:extent cx="5269865" cy="1746250"/>
            <wp:effectExtent l="0" t="0" r="635" b="6350"/>
            <wp:docPr id="3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746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32" w:name="_Toc21822"/>
      <w:r>
        <w:rPr>
          <w:rFonts w:hint="eastAsia"/>
        </w:rPr>
        <w:t>评标结果</w:t>
      </w:r>
      <w:bookmarkEnd w:id="32"/>
    </w:p>
    <w:p>
      <w:r>
        <w:rPr>
          <w:rFonts w:hint="eastAsia"/>
        </w:rPr>
        <w:t>可点击“下一步”或刷新界面后再点击详细评审进入到评标结果。</w:t>
      </w:r>
    </w:p>
    <w:p>
      <w:pPr>
        <w:pStyle w:val="4"/>
      </w:pPr>
      <w:bookmarkStart w:id="33" w:name="_Toc23625"/>
      <w:r>
        <w:rPr>
          <w:rFonts w:hint="eastAsia"/>
        </w:rPr>
        <w:t>最终排名</w:t>
      </w:r>
      <w:bookmarkEnd w:id="33"/>
    </w:p>
    <w:p>
      <w:r>
        <w:rPr>
          <w:rFonts w:hint="eastAsia"/>
        </w:rPr>
        <w:t>点击“最终排名”，然后点击“汇总排名”，系统会通过各个单位的总得分进行排名。</w:t>
      </w:r>
    </w:p>
    <w:p>
      <w:r>
        <w:drawing>
          <wp:inline distT="0" distB="0" distL="114300" distR="114300">
            <wp:extent cx="5278120" cy="2351405"/>
            <wp:effectExtent l="0" t="0" r="5080" b="10795"/>
            <wp:docPr id="3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3514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评委会组长需要对最终排名汇总进行确认。</w:t>
      </w:r>
    </w:p>
    <w:p>
      <w:r>
        <w:drawing>
          <wp:inline distT="0" distB="0" distL="114300" distR="114300">
            <wp:extent cx="5266690" cy="2336165"/>
            <wp:effectExtent l="0" t="0" r="3810" b="635"/>
            <wp:docPr id="3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7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36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2405" cy="2324100"/>
            <wp:effectExtent l="0" t="0" r="10795" b="0"/>
            <wp:docPr id="4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34" w:name="_Toc6146"/>
      <w:r>
        <w:rPr>
          <w:rFonts w:hint="eastAsia"/>
        </w:rPr>
        <w:t>评委签章</w:t>
      </w:r>
      <w:bookmarkEnd w:id="34"/>
    </w:p>
    <w:p>
      <w:r>
        <w:rPr>
          <w:rFonts w:hint="eastAsia"/>
        </w:rPr>
        <w:t>评委签章分为集体签名部分和个人签章部分，集体签名部分是指每个评委都在各项评分汇总表上进行签名。个人签章部分是指在个人各项评分表上进行签名。</w:t>
      </w:r>
    </w:p>
    <w:p>
      <w:pPr>
        <w:rPr>
          <w:rFonts w:hint="default"/>
          <w:lang w:val="en-US"/>
        </w:rPr>
      </w:pPr>
      <w:r>
        <w:rPr>
          <w:rFonts w:hint="eastAsia"/>
        </w:rPr>
        <w:t>签名方法如下：</w:t>
      </w:r>
      <w:r>
        <w:rPr>
          <w:rFonts w:hint="eastAsia"/>
          <w:lang w:val="en-US" w:eastAsia="zh-CN"/>
        </w:rPr>
        <w:t>先勾选需要签字的报表，点击【批量签章】，然后在平板设备上手写签字，点击完成提交，系统自动在勾选的报表上自动完成所有签字。</w:t>
      </w:r>
    </w:p>
    <w:p>
      <w:r>
        <w:drawing>
          <wp:inline distT="0" distB="0" distL="114300" distR="114300">
            <wp:extent cx="5267960" cy="2213610"/>
            <wp:effectExtent l="0" t="0" r="8890" b="1524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21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35" w:name="_Toc21756"/>
      <w:r>
        <w:rPr>
          <w:rFonts w:hint="eastAsia"/>
        </w:rPr>
        <w:t>评标结束</w:t>
      </w:r>
      <w:bookmarkEnd w:id="35"/>
    </w:p>
    <w:p>
      <w:r>
        <w:rPr>
          <w:rFonts w:hint="eastAsia"/>
        </w:rPr>
        <w:t>评委会组长在评标结束界面点击“评标结束”按钮，本次评标即可结束。</w:t>
      </w:r>
    </w:p>
    <w:p>
      <w:r>
        <w:drawing>
          <wp:inline distT="0" distB="0" distL="114300" distR="114300">
            <wp:extent cx="5273040" cy="2392680"/>
            <wp:effectExtent l="0" t="0" r="10160" b="7620"/>
            <wp:docPr id="46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92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36" w:name="_Toc25997"/>
      <w:r>
        <w:rPr>
          <w:rFonts w:hint="eastAsia"/>
        </w:rPr>
        <w:t>评标报告</w:t>
      </w:r>
      <w:bookmarkEnd w:id="36"/>
    </w:p>
    <w:p>
      <w:r>
        <w:rPr>
          <w:rFonts w:hint="eastAsia"/>
        </w:rPr>
        <w:t>显示所有的评审的打分表和汇总结果。评委根据需要勾选打印内容。</w:t>
      </w:r>
    </w:p>
    <w:p>
      <w:r>
        <w:drawing>
          <wp:inline distT="0" distB="0" distL="114300" distR="114300">
            <wp:extent cx="5275580" cy="2246630"/>
            <wp:effectExtent l="0" t="0" r="7620" b="1270"/>
            <wp:docPr id="47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7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2246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797" w:bottom="1440" w:left="1797" w:header="454" w:footer="680" w:gutter="0"/>
      <w:pgNumType w:start="0"/>
      <w:cols w:space="720" w:num="1"/>
      <w:titlePg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top w:val="single" w:color="9BBB59" w:sz="24" w:space="5"/>
      </w:pBdr>
      <w:wordWrap w:val="0"/>
      <w:spacing w:line="240" w:lineRule="auto"/>
      <w:ind w:firstLine="360"/>
      <w:jc w:val="right"/>
    </w:pPr>
    <w:r>
      <w:fldChar w:fldCharType="begin"/>
    </w:r>
    <w:r>
      <w:instrText xml:space="preserve"> PAGE </w:instrText>
    </w:r>
    <w:r>
      <w:fldChar w:fldCharType="separate"/>
    </w:r>
    <w:r>
      <w:t>9</w:t>
    </w:r>
    <w:r>
      <w:fldChar w:fldCharType="end"/>
    </w:r>
    <w:r>
      <w:rPr>
        <w:lang w:val="zh-CN"/>
      </w:rPr>
      <w:t xml:space="preserve"> /</w:t>
    </w:r>
    <w:r>
      <w:rPr>
        <w:rFonts w:hint="eastAsia"/>
      </w:rPr>
      <w:t>18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pBdr>
        <w:bottom w:val="thickThinSmallGap" w:color="622423" w:sz="24" w:space="1"/>
      </w:pBdr>
      <w:spacing w:line="240" w:lineRule="auto"/>
      <w:ind w:firstLine="0" w:firstLineChars="0"/>
      <w:jc w:val="left"/>
    </w:pPr>
    <w:r>
      <w:rPr>
        <w:rFonts w:ascii="宋体" w:hAnsi="宋体"/>
      </w:rPr>
      <w:drawing>
        <wp:inline distT="0" distB="0" distL="114300" distR="114300">
          <wp:extent cx="600075" cy="304800"/>
          <wp:effectExtent l="0" t="0" r="9525" b="0"/>
          <wp:docPr id="76" name="图片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6" name="图片 2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00075" cy="30480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Cambria" w:hAnsi="Cambria"/>
      </w:rPr>
      <w:t xml:space="preserve">操作手册                     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C4C21CA"/>
    <w:multiLevelType w:val="multilevel"/>
    <w:tmpl w:val="5C4C21CA"/>
    <w:lvl w:ilvl="0" w:tentative="0">
      <w:start w:val="1"/>
      <w:numFmt w:val="chineseCountingThousand"/>
      <w:pStyle w:val="2"/>
      <w:lvlText w:val="%1、"/>
      <w:lvlJc w:val="left"/>
      <w:pPr>
        <w:ind w:left="432" w:hanging="432"/>
      </w:pPr>
      <w:rPr>
        <w:rFonts w:hint="eastAsia"/>
        <w:lang w:val="en-US"/>
      </w:rPr>
    </w:lvl>
    <w:lvl w:ilvl="1" w:tentative="0">
      <w:start w:val="1"/>
      <w:numFmt w:val="decimal"/>
      <w:pStyle w:val="3"/>
      <w:isLgl/>
      <w:lvlText w:val="%1.%2、"/>
      <w:lvlJc w:val="left"/>
      <w:pPr>
        <w:ind w:left="284" w:hanging="284"/>
      </w:pPr>
      <w:rPr>
        <w:rFonts w:hint="eastAsia"/>
        <w:color w:val="auto"/>
        <w:sz w:val="30"/>
        <w:szCs w:val="30"/>
      </w:rPr>
    </w:lvl>
    <w:lvl w:ilvl="2" w:tentative="0">
      <w:start w:val="1"/>
      <w:numFmt w:val="decimal"/>
      <w:pStyle w:val="4"/>
      <w:isLgl/>
      <w:lvlText w:val="%1.%2.%3、"/>
      <w:lvlJc w:val="left"/>
      <w:pPr>
        <w:ind w:left="2280" w:hanging="7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position w:val="0"/>
        <w:u w:val="none"/>
        <w:vertAlign w:val="baseline"/>
      </w:rPr>
    </w:lvl>
    <w:lvl w:ilvl="3" w:tentative="0">
      <w:start w:val="1"/>
      <w:numFmt w:val="decimal"/>
      <w:isLgl/>
      <w:lvlText w:val="%1.%2.%3.%4、"/>
      <w:lvlJc w:val="left"/>
      <w:pPr>
        <w:ind w:left="833" w:hanging="864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color w:val="000000"/>
        <w:spacing w:val="0"/>
        <w:w w:val="0"/>
        <w:kern w:val="0"/>
        <w:position w:val="0"/>
        <w:szCs w:val="16"/>
        <w:u w:val="none"/>
      </w:rPr>
    </w:lvl>
    <w:lvl w:ilvl="4" w:tentative="0">
      <w:start w:val="1"/>
      <w:numFmt w:val="decimal"/>
      <w:isLgl/>
      <w:lvlText w:val="%1.%2.%3.%4.%5、"/>
      <w:lvlJc w:val="left"/>
      <w:pPr>
        <w:ind w:left="977" w:hanging="1008"/>
      </w:pPr>
      <w:rPr>
        <w:rFonts w:hint="eastAsia"/>
      </w:rPr>
    </w:lvl>
    <w:lvl w:ilvl="5" w:tentative="0">
      <w:start w:val="1"/>
      <w:numFmt w:val="decimal"/>
      <w:isLgl/>
      <w:lvlText w:val="%1.%2.%3.%4.%5.%6、"/>
      <w:lvlJc w:val="left"/>
      <w:pPr>
        <w:ind w:left="1121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1265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1409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1553" w:hanging="1584"/>
      </w:pPr>
      <w:rPr>
        <w:rFonts w:hint="eastAsia"/>
      </w:r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WY0Y2FkMDhhN2IyYmQ1YWZjNGM1YTliYzBjMDZlN2QifQ=="/>
  </w:docVars>
  <w:rsids>
    <w:rsidRoot w:val="00766083"/>
    <w:rsid w:val="00467B0D"/>
    <w:rsid w:val="005B5205"/>
    <w:rsid w:val="005D66F6"/>
    <w:rsid w:val="00766083"/>
    <w:rsid w:val="00821187"/>
    <w:rsid w:val="008D0925"/>
    <w:rsid w:val="009C3883"/>
    <w:rsid w:val="00D45654"/>
    <w:rsid w:val="00D83495"/>
    <w:rsid w:val="00E53B01"/>
    <w:rsid w:val="00F12FCF"/>
    <w:rsid w:val="00F14620"/>
    <w:rsid w:val="00F51583"/>
    <w:rsid w:val="0AD3438D"/>
    <w:rsid w:val="0E885908"/>
    <w:rsid w:val="13153B4C"/>
    <w:rsid w:val="13285F93"/>
    <w:rsid w:val="22F67761"/>
    <w:rsid w:val="2CBF3F22"/>
    <w:rsid w:val="2DFD6A07"/>
    <w:rsid w:val="2FB266AB"/>
    <w:rsid w:val="324116EC"/>
    <w:rsid w:val="32E56DE3"/>
    <w:rsid w:val="46574ECA"/>
    <w:rsid w:val="49B50EB0"/>
    <w:rsid w:val="4DE91135"/>
    <w:rsid w:val="514F4FBC"/>
    <w:rsid w:val="53C358AD"/>
    <w:rsid w:val="56D932C3"/>
    <w:rsid w:val="5E4B7073"/>
    <w:rsid w:val="677F3EFD"/>
    <w:rsid w:val="686668DB"/>
    <w:rsid w:val="71E6130C"/>
    <w:rsid w:val="7A8B57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tabs>
        <w:tab w:val="left" w:pos="425"/>
      </w:tabs>
      <w:spacing w:before="120" w:after="120"/>
      <w:ind w:firstLine="0" w:firstLineChars="0"/>
      <w:outlineLvl w:val="0"/>
    </w:pPr>
    <w:rPr>
      <w:b/>
      <w:bCs/>
      <w:kern w:val="44"/>
      <w:sz w:val="32"/>
      <w:szCs w:val="28"/>
    </w:rPr>
  </w:style>
  <w:style w:type="paragraph" w:styleId="3">
    <w:name w:val="heading 2"/>
    <w:basedOn w:val="1"/>
    <w:next w:val="1"/>
    <w:qFormat/>
    <w:uiPriority w:val="0"/>
    <w:pPr>
      <w:keepNext/>
      <w:keepLines/>
      <w:numPr>
        <w:ilvl w:val="1"/>
        <w:numId w:val="1"/>
      </w:numPr>
      <w:tabs>
        <w:tab w:val="left" w:pos="567"/>
      </w:tabs>
      <w:spacing w:before="120" w:after="120"/>
      <w:ind w:firstLine="0" w:firstLineChars="0"/>
      <w:outlineLvl w:val="1"/>
    </w:pPr>
    <w:rPr>
      <w:b/>
      <w:bCs/>
      <w:sz w:val="30"/>
      <w:szCs w:val="32"/>
    </w:rPr>
  </w:style>
  <w:style w:type="paragraph" w:styleId="4">
    <w:name w:val="heading 3"/>
    <w:basedOn w:val="1"/>
    <w:next w:val="1"/>
    <w:qFormat/>
    <w:uiPriority w:val="0"/>
    <w:pPr>
      <w:keepNext/>
      <w:keepLines/>
      <w:numPr>
        <w:ilvl w:val="2"/>
        <w:numId w:val="1"/>
      </w:numPr>
      <w:tabs>
        <w:tab w:val="left" w:pos="567"/>
      </w:tabs>
      <w:spacing w:before="120" w:after="120"/>
      <w:ind w:firstLine="0" w:firstLineChars="0"/>
      <w:outlineLvl w:val="2"/>
    </w:pPr>
    <w:rPr>
      <w:b/>
      <w:bCs/>
      <w:sz w:val="28"/>
      <w:szCs w:val="18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qFormat/>
    <w:uiPriority w:val="39"/>
    <w:pPr>
      <w:spacing w:line="240" w:lineRule="auto"/>
      <w:ind w:firstLine="400" w:firstLineChars="400"/>
    </w:pPr>
    <w:rPr>
      <w:rFonts w:cs="Calibri"/>
      <w:iCs/>
      <w:szCs w:val="20"/>
    </w:rPr>
  </w:style>
  <w:style w:type="paragraph" w:styleId="6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header"/>
    <w:basedOn w:val="1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toc 1"/>
    <w:basedOn w:val="1"/>
    <w:next w:val="1"/>
    <w:qFormat/>
    <w:uiPriority w:val="39"/>
    <w:pPr>
      <w:spacing w:line="240" w:lineRule="auto"/>
      <w:ind w:firstLine="0" w:firstLineChars="0"/>
    </w:pPr>
    <w:rPr>
      <w:rFonts w:cs="Calibri"/>
      <w:bCs/>
      <w:caps/>
      <w:szCs w:val="20"/>
    </w:rPr>
  </w:style>
  <w:style w:type="paragraph" w:styleId="9">
    <w:name w:val="toc 2"/>
    <w:basedOn w:val="1"/>
    <w:next w:val="1"/>
    <w:qFormat/>
    <w:uiPriority w:val="39"/>
    <w:pPr>
      <w:spacing w:line="240" w:lineRule="auto"/>
      <w:ind w:firstLine="200"/>
    </w:pPr>
    <w:rPr>
      <w:rFonts w:cs="Calibri"/>
      <w:smallCaps/>
      <w:szCs w:val="20"/>
    </w:rPr>
  </w:style>
  <w:style w:type="paragraph" w:styleId="10">
    <w:name w:val="Title"/>
    <w:basedOn w:val="1"/>
    <w:qFormat/>
    <w:uiPriority w:val="0"/>
    <w:pPr>
      <w:tabs>
        <w:tab w:val="left" w:pos="432"/>
      </w:tabs>
      <w:spacing w:before="240" w:after="60"/>
      <w:ind w:left="432" w:hanging="432"/>
      <w:jc w:val="center"/>
      <w:outlineLvl w:val="0"/>
    </w:pPr>
    <w:rPr>
      <w:rFonts w:ascii="Arial" w:hAnsi="Arial"/>
      <w:b/>
      <w:bCs/>
      <w:sz w:val="32"/>
      <w:szCs w:val="32"/>
    </w:rPr>
  </w:style>
  <w:style w:type="paragraph" w:customStyle="1" w:styleId="13">
    <w:name w:val="Indent Normal"/>
    <w:basedOn w:val="1"/>
    <w:qFormat/>
    <w:uiPriority w:val="0"/>
    <w:pPr>
      <w:ind w:firstLine="150" w:firstLineChars="150"/>
    </w:pPr>
    <w:rPr>
      <w:sz w:val="24"/>
    </w:rPr>
  </w:style>
  <w:style w:type="paragraph" w:customStyle="1" w:styleId="14">
    <w:name w:val="2"/>
    <w:basedOn w:val="1"/>
    <w:qFormat/>
    <w:uiPriority w:val="0"/>
    <w:pPr>
      <w:autoSpaceDE w:val="0"/>
      <w:autoSpaceDN w:val="0"/>
      <w:adjustRightInd w:val="0"/>
      <w:ind w:firstLine="0" w:firstLineChars="0"/>
      <w:jc w:val="center"/>
    </w:pPr>
    <w:rPr>
      <w:spacing w:val="4"/>
    </w:rPr>
  </w:style>
  <w:style w:type="paragraph" w:customStyle="1" w:styleId="15">
    <w:name w:val="1"/>
    <w:basedOn w:val="1"/>
    <w:qFormat/>
    <w:uiPriority w:val="0"/>
    <w:pPr>
      <w:ind w:firstLine="0" w:firstLineChars="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1" Type="http://schemas.openxmlformats.org/officeDocument/2006/relationships/fontTable" Target="fontTable.xml"/><Relationship Id="rId50" Type="http://schemas.openxmlformats.org/officeDocument/2006/relationships/numbering" Target="numbering.xml"/><Relationship Id="rId5" Type="http://schemas.openxmlformats.org/officeDocument/2006/relationships/header" Target="header1.xml"/><Relationship Id="rId49" Type="http://schemas.openxmlformats.org/officeDocument/2006/relationships/image" Target="media/image39.png"/><Relationship Id="rId48" Type="http://schemas.openxmlformats.org/officeDocument/2006/relationships/image" Target="media/image38.png"/><Relationship Id="rId47" Type="http://schemas.openxmlformats.org/officeDocument/2006/relationships/image" Target="media/image37.png"/><Relationship Id="rId46" Type="http://schemas.openxmlformats.org/officeDocument/2006/relationships/image" Target="media/image36.png"/><Relationship Id="rId45" Type="http://schemas.openxmlformats.org/officeDocument/2006/relationships/image" Target="media/image35.png"/><Relationship Id="rId44" Type="http://schemas.openxmlformats.org/officeDocument/2006/relationships/image" Target="media/image34.png"/><Relationship Id="rId43" Type="http://schemas.openxmlformats.org/officeDocument/2006/relationships/image" Target="media/image33.png"/><Relationship Id="rId42" Type="http://schemas.openxmlformats.org/officeDocument/2006/relationships/image" Target="media/image32.png"/><Relationship Id="rId41" Type="http://schemas.openxmlformats.org/officeDocument/2006/relationships/image" Target="media/image31.png"/><Relationship Id="rId40" Type="http://schemas.openxmlformats.org/officeDocument/2006/relationships/image" Target="media/image30.png"/><Relationship Id="rId4" Type="http://schemas.openxmlformats.org/officeDocument/2006/relationships/endnotes" Target="endnotes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footnotes" Target="footnotes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1919</Words>
  <Characters>2076</Characters>
  <Lines>27</Lines>
  <Paragraphs>7</Paragraphs>
  <TotalTime>5</TotalTime>
  <ScaleCrop>false</ScaleCrop>
  <LinksUpToDate>false</LinksUpToDate>
  <CharactersWithSpaces>2137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卢一一啊</dc:creator>
  <cp:lastModifiedBy>NTKO</cp:lastModifiedBy>
  <dcterms:modified xsi:type="dcterms:W3CDTF">2023-07-18T00:53:35Z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0BD2304781434A8AAC65E313328A1017_13</vt:lpwstr>
  </property>
</Properties>
</file>